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0F367" w14:textId="77777777" w:rsidR="00877663" w:rsidRPr="00877663" w:rsidRDefault="00877663" w:rsidP="00877663">
      <w:pPr>
        <w:ind w:left="-5"/>
        <w:rPr>
          <w:color w:val="auto"/>
        </w:rPr>
      </w:pPr>
      <w:r w:rsidRPr="00877663">
        <w:rPr>
          <w:b/>
          <w:color w:val="auto"/>
        </w:rPr>
        <w:t>4.</w:t>
      </w:r>
      <w:r w:rsidRPr="00877663">
        <w:rPr>
          <w:rFonts w:ascii="Arial" w:eastAsia="Arial" w:hAnsi="Arial" w:cs="Arial"/>
          <w:b/>
          <w:color w:val="auto"/>
        </w:rPr>
        <w:t xml:space="preserve"> </w:t>
      </w:r>
      <w:r w:rsidRPr="00877663">
        <w:rPr>
          <w:b/>
          <w:color w:val="auto"/>
        </w:rPr>
        <w:t>Lik</w:t>
      </w:r>
      <w:bookmarkStart w:id="0" w:name="_GoBack"/>
      <w:bookmarkEnd w:id="0"/>
      <w:r w:rsidRPr="00877663">
        <w:rPr>
          <w:b/>
          <w:color w:val="auto"/>
        </w:rPr>
        <w:t xml:space="preserve">videerida evakuatsioonivalgustuse hoolduse käigus tuvastatud puudused. Põhjendus: </w:t>
      </w:r>
      <w:r w:rsidRPr="00877663">
        <w:rPr>
          <w:color w:val="auto"/>
        </w:rPr>
        <w:t xml:space="preserve">Paikvaatlusel tuvastati, et valgustatud ohutusmärgid ei ole osaliselt töökorras (1. korrusel koridoris, 2., 9. ja 10. korrustel evakuatsioonitrepikojas, 5. korrusel rõdul). Evakuatsiooni ja paanikavältimise valgustuse katsetamise aktis nr 3101-19 (aasta hooldus) on fikseeritud puudused. Ei esitatud dokumentatsiooni puuduste likvideerimise kohta. </w:t>
      </w:r>
    </w:p>
    <w:p w14:paraId="3AB6A743" w14:textId="77777777" w:rsidR="00877663" w:rsidRPr="00877663" w:rsidRDefault="00877663" w:rsidP="00877663">
      <w:pPr>
        <w:ind w:left="-5"/>
        <w:rPr>
          <w:color w:val="auto"/>
        </w:rPr>
      </w:pPr>
      <w:r w:rsidRPr="00877663">
        <w:rPr>
          <w:color w:val="auto"/>
        </w:rPr>
        <w:t xml:space="preserve">Tuleohutuse seaduse § 3 lg 1 p 4 kohaselt on isik kohustatud tagama ehitises nõutavate tuleohutuspaigaldiste olemasolu ja korrashoiu. Evakuatsioonivalgustus on tuleohutuspaigaldis, mis tulekahju või muu ohu, sealhulgas normaal-elektritoite tõrke korral, võimaldab evakueeruda, vähendada paanika tekkimist, lõpetada tegevused, välja lülitada seadmed või peatada protsessid ja teostada päästetöid. Tuleohutuse seaduse § 31 järgi peab tuleohutuspaigaldise omanik tagama tuleohutuspaigaldise korrashoiu ja katkematu toimepidevuse, korraldama ettenähtud juhtudel tuleohutuspaigaldise vaatlust, kontrolli ja hooldust ning omama dokumentatsiooni tuleohutuspaigaldise ja selle kontrolli ning hoolduse kohta. Tuleohutuspaigaldist tuleb kontrollida ja hooldada vastavalt tehnilisele normile ja tootja juhisele ning ohutusnõuetes ettenähtule selliselt, et tuleohutuspaigaldis täidaks oma otstarvet. </w:t>
      </w:r>
      <w:r w:rsidRPr="00877663">
        <w:rPr>
          <w:b/>
          <w:color w:val="auto"/>
        </w:rPr>
        <w:t>Alus:</w:t>
      </w:r>
      <w:r w:rsidRPr="00877663">
        <w:rPr>
          <w:color w:val="auto"/>
        </w:rPr>
        <w:t xml:space="preserve"> Tuleohutuse seadus § 30 lg 1 p 5, § 31, § 32 lg 1. </w:t>
      </w:r>
    </w:p>
    <w:p w14:paraId="0C3B7DF3" w14:textId="77777777" w:rsidR="00877663" w:rsidRPr="00877663" w:rsidRDefault="00877663" w:rsidP="00877663">
      <w:pPr>
        <w:pStyle w:val="Heading1"/>
        <w:ind w:left="-5"/>
        <w:rPr>
          <w:color w:val="auto"/>
        </w:rPr>
      </w:pPr>
      <w:r w:rsidRPr="00877663">
        <w:rPr>
          <w:color w:val="auto"/>
        </w:rPr>
        <w:t>Täitmise tähtaeg: 01.04.2019</w:t>
      </w:r>
      <w:r w:rsidRPr="00877663">
        <w:rPr>
          <w:b w:val="0"/>
          <w:color w:val="auto"/>
        </w:rPr>
        <w:t xml:space="preserve"> </w:t>
      </w:r>
    </w:p>
    <w:p w14:paraId="615B8720" w14:textId="77777777" w:rsidR="00877663" w:rsidRPr="00877663" w:rsidRDefault="00877663" w:rsidP="00877663">
      <w:pPr>
        <w:ind w:left="-5"/>
        <w:rPr>
          <w:color w:val="auto"/>
        </w:rPr>
      </w:pPr>
      <w:r w:rsidRPr="00877663">
        <w:rPr>
          <w:b/>
          <w:color w:val="auto"/>
        </w:rPr>
        <w:t xml:space="preserve">Sunniraha hoiatus: </w:t>
      </w:r>
      <w:r w:rsidRPr="00877663">
        <w:rPr>
          <w:color w:val="auto"/>
        </w:rPr>
        <w:t xml:space="preserve">juhul, kui käesolevat ettekirjutust ei täideta tähtajaks, rakendab haldusorgan tuleohutuse seaduse § 40 alusel adressaadi suhtes sunnivahendit – </w:t>
      </w:r>
      <w:r w:rsidRPr="00877663">
        <w:rPr>
          <w:b/>
          <w:color w:val="auto"/>
        </w:rPr>
        <w:t xml:space="preserve">sunniraha 500,00 (viissada) eurot. </w:t>
      </w:r>
    </w:p>
    <w:p w14:paraId="701201ED" w14:textId="77777777" w:rsidR="00FC31E1" w:rsidRPr="00877663" w:rsidRDefault="00FC31E1">
      <w:pPr>
        <w:rPr>
          <w:color w:val="auto"/>
        </w:rPr>
      </w:pPr>
    </w:p>
    <w:sectPr w:rsidR="00FC31E1" w:rsidRPr="00877663" w:rsidSect="0090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E4"/>
    <w:rsid w:val="00877663"/>
    <w:rsid w:val="00900698"/>
    <w:rsid w:val="00DF37E4"/>
    <w:rsid w:val="00FC3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0DD5C-D91A-47D3-8289-843CAA91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663"/>
    <w:pPr>
      <w:spacing w:after="2" w:line="248" w:lineRule="auto"/>
      <w:ind w:left="10" w:hanging="10"/>
      <w:jc w:val="both"/>
    </w:pPr>
    <w:rPr>
      <w:rFonts w:ascii="Times New Roman" w:eastAsia="Times New Roman" w:hAnsi="Times New Roman" w:cs="Times New Roman"/>
      <w:color w:val="000000"/>
      <w:sz w:val="24"/>
      <w:lang w:eastAsia="et-EE"/>
    </w:rPr>
  </w:style>
  <w:style w:type="paragraph" w:styleId="Heading1">
    <w:name w:val="heading 1"/>
    <w:next w:val="Normal"/>
    <w:link w:val="Heading1Char"/>
    <w:uiPriority w:val="9"/>
    <w:qFormat/>
    <w:rsid w:val="00877663"/>
    <w:pPr>
      <w:keepNext/>
      <w:keepLines/>
      <w:spacing w:after="10" w:line="249" w:lineRule="auto"/>
      <w:ind w:left="10" w:hanging="10"/>
      <w:jc w:val="both"/>
      <w:outlineLvl w:val="0"/>
    </w:pPr>
    <w:rPr>
      <w:rFonts w:ascii="Times New Roman" w:eastAsia="Times New Roman" w:hAnsi="Times New Roman" w:cs="Times New Roman"/>
      <w:b/>
      <w:color w:val="000000"/>
      <w:sz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663"/>
    <w:rPr>
      <w:rFonts w:ascii="Times New Roman" w:eastAsia="Times New Roman" w:hAnsi="Times New Roman" w:cs="Times New Roman"/>
      <w:b/>
      <w:color w:val="000000"/>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1377</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Ednaševsky</dc:creator>
  <cp:keywords/>
  <dc:description/>
  <cp:lastModifiedBy>Roland Ednaševsky</cp:lastModifiedBy>
  <cp:revision>2</cp:revision>
  <dcterms:created xsi:type="dcterms:W3CDTF">2019-04-01T04:19:00Z</dcterms:created>
  <dcterms:modified xsi:type="dcterms:W3CDTF">2019-04-01T04:19:00Z</dcterms:modified>
</cp:coreProperties>
</file>